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966" w:rsidRPr="005C54D9" w:rsidRDefault="00C25966" w:rsidP="00BB610C">
      <w:pPr>
        <w:widowControl/>
        <w:spacing w:beforeLines="50" w:before="156" w:line="540" w:lineRule="exact"/>
        <w:jc w:val="left"/>
        <w:outlineLvl w:val="0"/>
        <w:rPr>
          <w:rFonts w:ascii="Times New Roman" w:eastAsia="方正仿宋简体" w:hAnsi="Times New Roman"/>
          <w:b/>
          <w:sz w:val="42"/>
          <w:szCs w:val="42"/>
        </w:rPr>
      </w:pPr>
      <w:r w:rsidRPr="005C54D9">
        <w:rPr>
          <w:rFonts w:ascii="Times New Roman" w:eastAsia="方正大标宋简体" w:hAnsi="Times New Roman"/>
          <w:bCs/>
          <w:kern w:val="36"/>
          <w:sz w:val="42"/>
          <w:szCs w:val="42"/>
        </w:rPr>
        <w:t>附件</w:t>
      </w:r>
      <w:r w:rsidRPr="005C54D9">
        <w:rPr>
          <w:rFonts w:ascii="Times New Roman" w:eastAsia="方正大标宋简体" w:hAnsi="Times New Roman"/>
          <w:bCs/>
          <w:kern w:val="36"/>
          <w:sz w:val="42"/>
          <w:szCs w:val="42"/>
        </w:rPr>
        <w:t>1</w:t>
      </w:r>
    </w:p>
    <w:p w:rsidR="00BB610C" w:rsidRDefault="00BB610C" w:rsidP="00C25966">
      <w:pPr>
        <w:spacing w:line="560" w:lineRule="exact"/>
        <w:jc w:val="center"/>
        <w:rPr>
          <w:rFonts w:ascii="方正大标宋简体" w:eastAsia="方正大标宋简体" w:hAnsi="Times New Roman"/>
          <w:sz w:val="42"/>
          <w:szCs w:val="42"/>
        </w:rPr>
      </w:pPr>
    </w:p>
    <w:p w:rsidR="00C25966" w:rsidRDefault="00C25966" w:rsidP="00C25966">
      <w:pPr>
        <w:spacing w:line="560" w:lineRule="exact"/>
        <w:jc w:val="center"/>
        <w:rPr>
          <w:rFonts w:ascii="方正大标宋简体" w:eastAsia="方正大标宋简体" w:hAnsi="Times New Roman"/>
          <w:sz w:val="36"/>
          <w:szCs w:val="36"/>
        </w:rPr>
      </w:pPr>
      <w:r>
        <w:rPr>
          <w:rFonts w:ascii="方正大标宋简体" w:eastAsia="方正大标宋简体" w:hAnsi="Times New Roman" w:hint="eastAsia"/>
          <w:sz w:val="42"/>
          <w:szCs w:val="42"/>
        </w:rPr>
        <w:t>起草说明</w:t>
      </w:r>
    </w:p>
    <w:p w:rsidR="00C25966" w:rsidRDefault="00C25966" w:rsidP="00C25966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铸造铝合金是全球铝</w:t>
      </w:r>
      <w:r>
        <w:rPr>
          <w:rFonts w:ascii="Times New Roman" w:eastAsia="方正仿宋简体" w:hAnsi="Times New Roman" w:hint="eastAsia"/>
          <w:sz w:val="30"/>
          <w:szCs w:val="30"/>
        </w:rPr>
        <w:t>产业</w:t>
      </w:r>
      <w:r>
        <w:rPr>
          <w:rFonts w:ascii="Times New Roman" w:eastAsia="方正仿宋简体" w:hAnsi="Times New Roman"/>
          <w:sz w:val="30"/>
          <w:szCs w:val="30"/>
        </w:rPr>
        <w:t>低碳转型的重要产品，</w:t>
      </w:r>
      <w:r>
        <w:rPr>
          <w:rFonts w:ascii="Times New Roman" w:eastAsia="方正仿宋简体" w:hAnsi="Times New Roman" w:cstheme="minorBidi"/>
          <w:sz w:val="30"/>
          <w:szCs w:val="30"/>
        </w:rPr>
        <w:t>我国是铸造铝合金产业大国，</w:t>
      </w:r>
      <w:r>
        <w:rPr>
          <w:rFonts w:ascii="Times New Roman" w:eastAsia="方正仿宋简体" w:hAnsi="Times New Roman"/>
          <w:sz w:val="30"/>
          <w:szCs w:val="30"/>
        </w:rPr>
        <w:t>推出铸造铝合金期货及期权</w:t>
      </w:r>
      <w:r>
        <w:rPr>
          <w:rFonts w:ascii="Times New Roman" w:eastAsia="方正仿宋简体" w:hAnsi="Times New Roman" w:hint="eastAsia"/>
          <w:sz w:val="30"/>
          <w:szCs w:val="30"/>
        </w:rPr>
        <w:t>品种</w:t>
      </w:r>
      <w:r>
        <w:rPr>
          <w:rFonts w:ascii="Times New Roman" w:eastAsia="方正仿宋简体" w:hAnsi="Times New Roman"/>
          <w:sz w:val="30"/>
          <w:szCs w:val="30"/>
        </w:rPr>
        <w:t>，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将</w:t>
      </w:r>
      <w:r>
        <w:rPr>
          <w:rFonts w:ascii="Times New Roman" w:eastAsia="方正仿宋简体" w:hAnsi="Times New Roman" w:cstheme="minorBidi"/>
          <w:sz w:val="30"/>
          <w:szCs w:val="30"/>
        </w:rPr>
        <w:t>为市场提供公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开</w:t>
      </w:r>
      <w:r>
        <w:rPr>
          <w:rFonts w:ascii="Times New Roman" w:eastAsia="方正仿宋简体" w:hAnsi="Times New Roman" w:cstheme="minorBidi"/>
          <w:sz w:val="30"/>
          <w:szCs w:val="30"/>
        </w:rPr>
        <w:t>、透明的价格信号</w:t>
      </w:r>
      <w:r>
        <w:rPr>
          <w:rFonts w:ascii="Times New Roman" w:eastAsia="方正仿宋简体" w:hAnsi="Times New Roman"/>
          <w:sz w:val="30"/>
          <w:szCs w:val="30"/>
        </w:rPr>
        <w:t>，促进我国铝产业绿色低碳发展</w:t>
      </w:r>
      <w:r>
        <w:rPr>
          <w:rFonts w:ascii="Times New Roman" w:eastAsia="方正仿宋简体" w:hAnsi="Times New Roman" w:cstheme="minorBidi"/>
          <w:sz w:val="30"/>
          <w:szCs w:val="30"/>
        </w:rPr>
        <w:t>，</w:t>
      </w:r>
      <w:r>
        <w:rPr>
          <w:rFonts w:ascii="Times New Roman" w:eastAsia="方正仿宋简体" w:hAnsi="Times New Roman"/>
          <w:sz w:val="30"/>
          <w:szCs w:val="30"/>
        </w:rPr>
        <w:t>服务国</w:t>
      </w:r>
      <w:r>
        <w:rPr>
          <w:rFonts w:ascii="方正仿宋简体" w:eastAsia="方正仿宋简体" w:hAnsi="Times New Roman" w:hint="eastAsia"/>
          <w:sz w:val="30"/>
          <w:szCs w:val="30"/>
        </w:rPr>
        <w:t>家“双碳”</w:t>
      </w:r>
      <w:r>
        <w:rPr>
          <w:rFonts w:ascii="Times New Roman" w:eastAsia="方正仿宋简体" w:hAnsi="Times New Roman"/>
          <w:sz w:val="30"/>
          <w:szCs w:val="30"/>
        </w:rPr>
        <w:t>战略</w:t>
      </w:r>
      <w:r>
        <w:rPr>
          <w:rFonts w:ascii="Times New Roman" w:eastAsia="方正仿宋简体" w:hAnsi="Times New Roman" w:hint="eastAsia"/>
          <w:sz w:val="30"/>
          <w:szCs w:val="30"/>
        </w:rPr>
        <w:t>。为此</w:t>
      </w:r>
      <w:r>
        <w:rPr>
          <w:rFonts w:ascii="Times New Roman" w:eastAsia="方正仿宋简体" w:hAnsi="Times New Roman"/>
          <w:sz w:val="30"/>
          <w:szCs w:val="30"/>
        </w:rPr>
        <w:t>，上海期货交易所（</w:t>
      </w:r>
      <w:r>
        <w:rPr>
          <w:rFonts w:ascii="Times New Roman" w:eastAsia="方正仿宋简体" w:hAnsi="Times New Roman" w:hint="eastAsia"/>
          <w:sz w:val="30"/>
          <w:szCs w:val="30"/>
        </w:rPr>
        <w:t>以</w:t>
      </w:r>
      <w:r>
        <w:rPr>
          <w:rFonts w:ascii="Times New Roman" w:eastAsia="方正仿宋简体" w:hAnsi="Times New Roman"/>
          <w:sz w:val="30"/>
          <w:szCs w:val="30"/>
        </w:rPr>
        <w:t>下</w:t>
      </w:r>
      <w:r>
        <w:rPr>
          <w:rFonts w:ascii="Times New Roman" w:eastAsia="方正仿宋简体" w:hAnsi="Times New Roman" w:hint="eastAsia"/>
          <w:sz w:val="30"/>
          <w:szCs w:val="30"/>
        </w:rPr>
        <w:t>简称</w:t>
      </w:r>
      <w:r>
        <w:rPr>
          <w:rFonts w:ascii="Times New Roman" w:eastAsia="方正仿宋简体" w:hAnsi="Times New Roman"/>
          <w:sz w:val="30"/>
          <w:szCs w:val="30"/>
        </w:rPr>
        <w:t>上期所）拟上市</w:t>
      </w:r>
      <w:r>
        <w:rPr>
          <w:rFonts w:ascii="Times New Roman" w:eastAsia="方正仿宋简体" w:hAnsi="Times New Roman" w:hint="eastAsia"/>
          <w:sz w:val="30"/>
          <w:szCs w:val="30"/>
        </w:rPr>
        <w:t>铸造铝合金</w:t>
      </w:r>
      <w:r>
        <w:rPr>
          <w:rFonts w:ascii="Times New Roman" w:eastAsia="方正仿宋简体" w:hAnsi="Times New Roman"/>
          <w:sz w:val="30"/>
          <w:szCs w:val="30"/>
        </w:rPr>
        <w:t>期货</w:t>
      </w:r>
      <w:r>
        <w:rPr>
          <w:rFonts w:ascii="Times New Roman" w:eastAsia="方正仿宋简体" w:hAnsi="Times New Roman" w:hint="eastAsia"/>
          <w:sz w:val="30"/>
          <w:szCs w:val="30"/>
        </w:rPr>
        <w:t>和</w:t>
      </w:r>
      <w:r>
        <w:rPr>
          <w:rFonts w:ascii="Times New Roman" w:eastAsia="方正仿宋简体" w:hAnsi="Times New Roman"/>
          <w:sz w:val="30"/>
          <w:szCs w:val="30"/>
        </w:rPr>
        <w:t>期权</w:t>
      </w:r>
      <w:r>
        <w:rPr>
          <w:rFonts w:ascii="Times New Roman" w:eastAsia="方正仿宋简体" w:hAnsi="Times New Roman" w:hint="eastAsia"/>
          <w:sz w:val="30"/>
          <w:szCs w:val="30"/>
        </w:rPr>
        <w:t>品种</w:t>
      </w:r>
      <w:r>
        <w:rPr>
          <w:rFonts w:ascii="Times New Roman" w:eastAsia="方正仿宋简体" w:hAnsi="Times New Roman"/>
          <w:sz w:val="30"/>
          <w:szCs w:val="30"/>
        </w:rPr>
        <w:t>，完善有色金属期货</w:t>
      </w:r>
      <w:r>
        <w:rPr>
          <w:rFonts w:ascii="Times New Roman" w:eastAsia="方正仿宋简体" w:hAnsi="Times New Roman" w:hint="eastAsia"/>
          <w:sz w:val="30"/>
          <w:szCs w:val="30"/>
        </w:rPr>
        <w:t>期权</w:t>
      </w:r>
      <w:r>
        <w:rPr>
          <w:rFonts w:ascii="Times New Roman" w:eastAsia="方正仿宋简体" w:hAnsi="Times New Roman"/>
          <w:sz w:val="30"/>
          <w:szCs w:val="30"/>
        </w:rPr>
        <w:t>产品序列</w:t>
      </w:r>
      <w:r>
        <w:rPr>
          <w:rFonts w:ascii="Times New Roman" w:eastAsia="方正仿宋简体" w:hAnsi="Times New Roman" w:hint="eastAsia"/>
          <w:sz w:val="30"/>
          <w:szCs w:val="30"/>
        </w:rPr>
        <w:t>，</w:t>
      </w:r>
      <w:r>
        <w:rPr>
          <w:rFonts w:ascii="Times New Roman" w:eastAsia="方正仿宋简体" w:hAnsi="Times New Roman" w:cstheme="minorBidi"/>
          <w:sz w:val="30"/>
          <w:szCs w:val="30"/>
        </w:rPr>
        <w:t>为实体企业提供高效的价格风险管理工具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，</w:t>
      </w:r>
      <w:r>
        <w:rPr>
          <w:rFonts w:ascii="Times New Roman" w:eastAsia="方正仿宋简体" w:hAnsi="Times New Roman"/>
          <w:sz w:val="30"/>
          <w:szCs w:val="30"/>
        </w:rPr>
        <w:t>助力构建绿色低碳循环经济体系和全国统一大市场。</w:t>
      </w:r>
    </w:p>
    <w:p w:rsidR="00C25966" w:rsidRDefault="00C25966" w:rsidP="00C25966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铸造</w:t>
      </w:r>
      <w:r>
        <w:rPr>
          <w:rFonts w:ascii="黑体" w:eastAsia="黑体" w:hAnsi="黑体"/>
          <w:sz w:val="30"/>
          <w:szCs w:val="30"/>
        </w:rPr>
        <w:t>铝合金的主要特征</w:t>
      </w:r>
    </w:p>
    <w:p w:rsidR="00C25966" w:rsidRDefault="00C25966" w:rsidP="00C25966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铸造铝合金是指将铝、铜、硅等合金配料熔炼后通过铸造工艺生成所需形状的毛坯或</w:t>
      </w:r>
      <w:r>
        <w:rPr>
          <w:rFonts w:ascii="Times New Roman" w:eastAsia="方正仿宋简体" w:hAnsi="Times New Roman" w:hint="eastAsia"/>
          <w:sz w:val="30"/>
          <w:szCs w:val="30"/>
        </w:rPr>
        <w:t>者</w:t>
      </w:r>
      <w:r>
        <w:rPr>
          <w:rFonts w:ascii="Times New Roman" w:eastAsia="方正仿宋简体" w:hAnsi="Times New Roman"/>
          <w:sz w:val="30"/>
          <w:szCs w:val="30"/>
        </w:rPr>
        <w:t>零件的铝合金。铸造铝合金以废铝为主要生产原料，是我国再生铝产品的主要存在形式，据中国有色金属工业协会数据，生产单吨铸造铝合金的碳排放量约为电解铝（火电）的</w:t>
      </w:r>
      <w:r>
        <w:rPr>
          <w:rFonts w:ascii="Times New Roman" w:eastAsia="方正仿宋简体" w:hAnsi="Times New Roman"/>
          <w:sz w:val="30"/>
          <w:szCs w:val="30"/>
        </w:rPr>
        <w:t>3.6%</w:t>
      </w:r>
      <w:r>
        <w:rPr>
          <w:rFonts w:ascii="Times New Roman" w:eastAsia="方正仿宋简体" w:hAnsi="Times New Roman"/>
          <w:sz w:val="30"/>
          <w:szCs w:val="30"/>
        </w:rPr>
        <w:t>，可节约</w:t>
      </w:r>
      <w:r>
        <w:rPr>
          <w:rFonts w:ascii="Times New Roman" w:eastAsia="方正仿宋简体" w:hAnsi="Times New Roman"/>
          <w:sz w:val="30"/>
          <w:szCs w:val="30"/>
        </w:rPr>
        <w:t>3.4</w:t>
      </w:r>
      <w:r>
        <w:rPr>
          <w:rFonts w:ascii="Times New Roman" w:eastAsia="方正仿宋简体" w:hAnsi="Times New Roman"/>
          <w:sz w:val="30"/>
          <w:szCs w:val="30"/>
        </w:rPr>
        <w:t>吨标准煤和</w:t>
      </w:r>
      <w:r>
        <w:rPr>
          <w:rFonts w:ascii="Times New Roman" w:eastAsia="方正仿宋简体" w:hAnsi="Times New Roman"/>
          <w:sz w:val="30"/>
          <w:szCs w:val="30"/>
        </w:rPr>
        <w:t>22</w:t>
      </w:r>
      <w:r>
        <w:rPr>
          <w:rFonts w:ascii="Times New Roman" w:eastAsia="方正仿宋简体" w:hAnsi="Times New Roman"/>
          <w:sz w:val="30"/>
          <w:szCs w:val="30"/>
        </w:rPr>
        <w:t>吨水。铸造铝合金具有低密度、高强度、良好的抗蚀性和优异的铸造工艺性，广泛应用于汽车、摩托车、机械设备、通信设备、电子电器、五金灯具等领域。</w:t>
      </w:r>
    </w:p>
    <w:p w:rsidR="00C25966" w:rsidRDefault="00C25966" w:rsidP="00C25966">
      <w:pPr>
        <w:adjustRightInd w:val="0"/>
        <w:snapToGrid w:val="0"/>
        <w:spacing w:line="560" w:lineRule="exact"/>
        <w:ind w:leftChars="-50" w:left="-105" w:firstLineChars="200" w:firstLine="600"/>
        <w:rPr>
          <w:rFonts w:ascii="Times New Roman" w:eastAsia="方正仿宋简体" w:hAnsi="Times New Roman" w:cstheme="minorBidi"/>
          <w:sz w:val="30"/>
          <w:szCs w:val="30"/>
        </w:rPr>
      </w:pPr>
      <w:r>
        <w:rPr>
          <w:rFonts w:ascii="Times New Roman" w:eastAsia="方正仿宋简体" w:hAnsi="Times New Roman" w:cstheme="minorBidi"/>
          <w:sz w:val="30"/>
          <w:szCs w:val="30"/>
        </w:rPr>
        <w:t>用于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上期所</w:t>
      </w:r>
      <w:r>
        <w:rPr>
          <w:rFonts w:ascii="Times New Roman" w:eastAsia="方正仿宋简体" w:hAnsi="Times New Roman" w:cstheme="minorBidi"/>
          <w:sz w:val="30"/>
          <w:szCs w:val="30"/>
        </w:rPr>
        <w:t>实物交割的铸造铝合金，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其</w:t>
      </w:r>
      <w:r>
        <w:rPr>
          <w:rFonts w:ascii="Times New Roman" w:eastAsia="方正仿宋简体" w:hAnsi="Times New Roman" w:cstheme="minorBidi"/>
          <w:sz w:val="30"/>
          <w:szCs w:val="30"/>
        </w:rPr>
        <w:t>化学成分应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当</w:t>
      </w:r>
      <w:r>
        <w:rPr>
          <w:rFonts w:ascii="Times New Roman" w:eastAsia="方正仿宋简体" w:hAnsi="Times New Roman" w:cstheme="minorBidi"/>
          <w:sz w:val="30"/>
          <w:szCs w:val="30"/>
        </w:rPr>
        <w:t>符合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国家标准</w:t>
      </w:r>
      <w:r>
        <w:rPr>
          <w:rFonts w:ascii="Times New Roman" w:eastAsia="方正仿宋简体" w:hAnsi="Times New Roman" w:cstheme="minorBidi"/>
          <w:sz w:val="30"/>
          <w:szCs w:val="30"/>
        </w:rPr>
        <w:t>GB/T 8733-2016</w:t>
      </w:r>
      <w:r>
        <w:rPr>
          <w:rFonts w:ascii="Times New Roman" w:eastAsia="方正仿宋简体" w:hAnsi="Times New Roman" w:cstheme="minorBidi"/>
          <w:sz w:val="30"/>
          <w:szCs w:val="30"/>
        </w:rPr>
        <w:t>中</w:t>
      </w:r>
      <w:r>
        <w:rPr>
          <w:rFonts w:ascii="Times New Roman" w:eastAsia="方正仿宋简体" w:hAnsi="Times New Roman" w:cstheme="minorBidi"/>
          <w:sz w:val="30"/>
          <w:szCs w:val="30"/>
        </w:rPr>
        <w:t>383Y.3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牌号</w:t>
      </w:r>
      <w:r>
        <w:rPr>
          <w:rFonts w:ascii="Times New Roman" w:eastAsia="方正仿宋简体" w:hAnsi="Times New Roman" w:cstheme="minorBidi"/>
          <w:sz w:val="30"/>
          <w:szCs w:val="30"/>
        </w:rPr>
        <w:t>或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者日本标准</w:t>
      </w:r>
      <w:r>
        <w:rPr>
          <w:rFonts w:ascii="Times New Roman" w:eastAsia="方正仿宋简体" w:hAnsi="Times New Roman" w:cstheme="minorBidi"/>
          <w:sz w:val="30"/>
          <w:szCs w:val="30"/>
        </w:rPr>
        <w:t>JIS H 2118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：</w:t>
      </w:r>
      <w:r>
        <w:rPr>
          <w:rFonts w:ascii="Times New Roman" w:eastAsia="方正仿宋简体" w:hAnsi="Times New Roman" w:cstheme="minorBidi"/>
          <w:sz w:val="30"/>
          <w:szCs w:val="30"/>
        </w:rPr>
        <w:t>2006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中</w:t>
      </w:r>
      <w:r>
        <w:rPr>
          <w:rFonts w:ascii="Times New Roman" w:eastAsia="方正仿宋简体" w:hAnsi="Times New Roman" w:cstheme="minorBidi"/>
          <w:sz w:val="30"/>
          <w:szCs w:val="30"/>
        </w:rPr>
        <w:t>AD12.1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牌号</w:t>
      </w:r>
      <w:r>
        <w:rPr>
          <w:rFonts w:ascii="Times New Roman" w:eastAsia="方正仿宋简体" w:hAnsi="Times New Roman" w:cstheme="minorBidi"/>
          <w:sz w:val="30"/>
          <w:szCs w:val="30"/>
        </w:rPr>
        <w:t>的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相关</w:t>
      </w:r>
      <w:r>
        <w:rPr>
          <w:rFonts w:ascii="Times New Roman" w:eastAsia="方正仿宋简体" w:hAnsi="Times New Roman" w:cstheme="minorBidi"/>
          <w:sz w:val="30"/>
          <w:szCs w:val="30"/>
        </w:rPr>
        <w:t>规定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（以下</w:t>
      </w:r>
      <w:r>
        <w:rPr>
          <w:rFonts w:ascii="Times New Roman" w:eastAsia="方正仿宋简体" w:hAnsi="Times New Roman" w:cstheme="minorBidi"/>
          <w:sz w:val="30"/>
          <w:szCs w:val="30"/>
        </w:rPr>
        <w:t>统称</w:t>
      </w:r>
      <w:r>
        <w:rPr>
          <w:rFonts w:ascii="Times New Roman" w:eastAsia="方正仿宋简体" w:hAnsi="Times New Roman" w:cstheme="minorBidi"/>
          <w:sz w:val="30"/>
          <w:szCs w:val="30"/>
        </w:rPr>
        <w:t>ADC12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），</w:t>
      </w:r>
      <w:r>
        <w:rPr>
          <w:rFonts w:ascii="Times New Roman" w:eastAsia="方正仿宋简体" w:hAnsi="Times New Roman" w:cstheme="minorBidi"/>
          <w:sz w:val="30"/>
          <w:szCs w:val="30"/>
        </w:rPr>
        <w:t>且符合以下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要求</w:t>
      </w:r>
      <w:r>
        <w:rPr>
          <w:rFonts w:ascii="Times New Roman" w:eastAsia="方正仿宋简体" w:hAnsi="Times New Roman" w:cstheme="minorBidi"/>
          <w:sz w:val="30"/>
          <w:szCs w:val="30"/>
        </w:rPr>
        <w:t>：（</w:t>
      </w:r>
      <w:r>
        <w:rPr>
          <w:rFonts w:ascii="Times New Roman" w:eastAsia="方正仿宋简体" w:hAnsi="Times New Roman" w:cstheme="minorBidi"/>
          <w:sz w:val="30"/>
          <w:szCs w:val="30"/>
        </w:rPr>
        <w:t>1</w:t>
      </w:r>
      <w:r>
        <w:rPr>
          <w:rFonts w:ascii="Times New Roman" w:eastAsia="方正仿宋简体" w:hAnsi="Times New Roman" w:cstheme="minorBidi"/>
          <w:sz w:val="30"/>
          <w:szCs w:val="30"/>
        </w:rPr>
        <w:t>）铅含量不高于</w:t>
      </w:r>
      <w:r>
        <w:rPr>
          <w:rFonts w:ascii="Times New Roman" w:eastAsia="方正仿宋简体" w:hAnsi="Times New Roman" w:cstheme="minorBidi"/>
          <w:sz w:val="30"/>
          <w:szCs w:val="30"/>
        </w:rPr>
        <w:t>0.1%</w:t>
      </w:r>
      <w:r>
        <w:rPr>
          <w:rFonts w:ascii="Times New Roman" w:eastAsia="方正仿宋简体" w:hAnsi="Times New Roman" w:cstheme="minorBidi"/>
          <w:sz w:val="30"/>
          <w:szCs w:val="30"/>
        </w:rPr>
        <w:t>；（</w:t>
      </w:r>
      <w:r>
        <w:rPr>
          <w:rFonts w:ascii="Times New Roman" w:eastAsia="方正仿宋简体" w:hAnsi="Times New Roman" w:cstheme="minorBidi"/>
          <w:sz w:val="30"/>
          <w:szCs w:val="30"/>
        </w:rPr>
        <w:t>2</w:t>
      </w:r>
      <w:r>
        <w:rPr>
          <w:rFonts w:ascii="Times New Roman" w:eastAsia="方正仿宋简体" w:hAnsi="Times New Roman" w:cstheme="minorBidi"/>
          <w:sz w:val="30"/>
          <w:szCs w:val="30"/>
        </w:rPr>
        <w:t>）针孔度应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当</w:t>
      </w:r>
      <w:r>
        <w:rPr>
          <w:rFonts w:ascii="Times New Roman" w:eastAsia="方正仿宋简体" w:hAnsi="Times New Roman" w:cstheme="minorBidi"/>
          <w:sz w:val="30"/>
          <w:szCs w:val="30"/>
        </w:rPr>
        <w:t>符合或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者</w:t>
      </w:r>
      <w:r>
        <w:rPr>
          <w:rFonts w:ascii="Times New Roman" w:eastAsia="方正仿宋简体" w:hAnsi="Times New Roman" w:cstheme="minorBidi"/>
          <w:sz w:val="30"/>
          <w:szCs w:val="30"/>
        </w:rPr>
        <w:t>优于二级；（</w:t>
      </w:r>
      <w:r>
        <w:rPr>
          <w:rFonts w:ascii="Times New Roman" w:eastAsia="方正仿宋简体" w:hAnsi="Times New Roman" w:cstheme="minorBidi"/>
          <w:sz w:val="30"/>
          <w:szCs w:val="30"/>
        </w:rPr>
        <w:t>3</w:t>
      </w:r>
      <w:r>
        <w:rPr>
          <w:rFonts w:ascii="Times New Roman" w:eastAsia="方正仿宋简体" w:hAnsi="Times New Roman" w:cstheme="minorBidi"/>
          <w:sz w:val="30"/>
          <w:szCs w:val="30"/>
        </w:rPr>
        <w:t>）夹渣量应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当</w:t>
      </w:r>
      <w:r>
        <w:rPr>
          <w:rFonts w:ascii="Times New Roman" w:eastAsia="方正仿宋简体" w:hAnsi="Times New Roman" w:cstheme="minorBidi"/>
          <w:sz w:val="30"/>
          <w:szCs w:val="30"/>
        </w:rPr>
        <w:t>满足</w:t>
      </w:r>
      <w:r>
        <w:rPr>
          <w:rFonts w:ascii="Times New Roman" w:eastAsia="方正仿宋简体" w:hAnsi="Times New Roman" w:cstheme="minorBidi"/>
          <w:sz w:val="30"/>
          <w:szCs w:val="30"/>
        </w:rPr>
        <w:t>K</w:t>
      </w:r>
      <w:r>
        <w:rPr>
          <w:rFonts w:ascii="Times New Roman" w:eastAsia="方正仿宋简体" w:hAnsi="Times New Roman" w:cstheme="minorBidi"/>
          <w:sz w:val="30"/>
          <w:szCs w:val="30"/>
        </w:rPr>
        <w:t>值</w:t>
      </w:r>
      <w:r>
        <w:rPr>
          <w:rFonts w:ascii="方正仿宋简体" w:eastAsia="方正仿宋简体" w:hAnsi="微软雅黑" w:cstheme="minorBidi" w:hint="eastAsia"/>
          <w:sz w:val="30"/>
          <w:szCs w:val="30"/>
        </w:rPr>
        <w:t>≤</w:t>
      </w:r>
      <w:r>
        <w:rPr>
          <w:rFonts w:ascii="Times New Roman" w:eastAsia="方正仿宋简体" w:hAnsi="Times New Roman" w:cstheme="minorBidi"/>
          <w:sz w:val="30"/>
          <w:szCs w:val="30"/>
        </w:rPr>
        <w:t>0.2</w:t>
      </w:r>
      <w:r>
        <w:rPr>
          <w:rFonts w:ascii="Times New Roman" w:eastAsia="方正仿宋简体" w:hAnsi="Times New Roman" w:cstheme="minorBidi"/>
          <w:sz w:val="30"/>
          <w:szCs w:val="30"/>
        </w:rPr>
        <w:t>；（</w:t>
      </w:r>
      <w:r>
        <w:rPr>
          <w:rFonts w:ascii="Times New Roman" w:eastAsia="方正仿宋简体" w:hAnsi="Times New Roman" w:cstheme="minorBidi"/>
          <w:sz w:val="30"/>
          <w:szCs w:val="30"/>
        </w:rPr>
        <w:t>4</w:t>
      </w:r>
      <w:r>
        <w:rPr>
          <w:rFonts w:ascii="Times New Roman" w:eastAsia="方正仿宋简体" w:hAnsi="Times New Roman" w:cstheme="minorBidi"/>
          <w:sz w:val="30"/>
          <w:szCs w:val="30"/>
        </w:rPr>
        <w:t>）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铸锭断口组织应致密，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lastRenderedPageBreak/>
        <w:t>不应有熔渣及夹杂物。</w:t>
      </w:r>
    </w:p>
    <w:p w:rsidR="00C25966" w:rsidRDefault="00C25966" w:rsidP="00C25966">
      <w:pPr>
        <w:adjustRightInd w:val="0"/>
        <w:snapToGrid w:val="0"/>
        <w:spacing w:line="560" w:lineRule="exact"/>
        <w:ind w:leftChars="-50" w:left="-105"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铸造</w:t>
      </w:r>
      <w:r>
        <w:rPr>
          <w:rFonts w:ascii="黑体" w:eastAsia="黑体" w:hAnsi="黑体"/>
          <w:sz w:val="30"/>
          <w:szCs w:val="30"/>
        </w:rPr>
        <w:t>铝合金期货</w:t>
      </w:r>
      <w:r>
        <w:rPr>
          <w:rFonts w:ascii="黑体" w:eastAsia="黑体" w:hAnsi="黑体" w:hint="eastAsia"/>
          <w:sz w:val="30"/>
          <w:szCs w:val="30"/>
        </w:rPr>
        <w:t>合约、</w:t>
      </w:r>
      <w:r>
        <w:rPr>
          <w:rFonts w:ascii="黑体" w:eastAsia="黑体" w:hAnsi="黑体"/>
          <w:sz w:val="30"/>
          <w:szCs w:val="30"/>
        </w:rPr>
        <w:t>期权合约的参数</w:t>
      </w:r>
    </w:p>
    <w:p w:rsidR="00C25966" w:rsidRDefault="00C25966" w:rsidP="00C25966">
      <w:pPr>
        <w:adjustRightInd w:val="0"/>
        <w:snapToGrid w:val="0"/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铸造铝合金期货</w:t>
      </w:r>
      <w:r>
        <w:rPr>
          <w:rFonts w:ascii="Times New Roman" w:eastAsia="方正仿宋简体" w:hAnsi="Times New Roman" w:hint="eastAsia"/>
          <w:sz w:val="30"/>
          <w:szCs w:val="30"/>
        </w:rPr>
        <w:t>合约</w:t>
      </w:r>
      <w:r>
        <w:rPr>
          <w:rFonts w:ascii="Times New Roman" w:eastAsia="方正仿宋简体" w:hAnsi="Times New Roman"/>
          <w:sz w:val="30"/>
          <w:szCs w:val="30"/>
        </w:rPr>
        <w:t>标的为</w:t>
      </w:r>
      <w:r>
        <w:rPr>
          <w:rFonts w:ascii="Times New Roman" w:eastAsia="方正仿宋简体" w:hAnsi="Times New Roman"/>
          <w:sz w:val="30"/>
          <w:szCs w:val="30"/>
        </w:rPr>
        <w:t>ADC12</w:t>
      </w:r>
      <w:r>
        <w:rPr>
          <w:rFonts w:ascii="Times New Roman" w:eastAsia="方正仿宋简体" w:hAnsi="Times New Roman"/>
          <w:sz w:val="30"/>
          <w:szCs w:val="30"/>
        </w:rPr>
        <w:t>铸造铝合金</w:t>
      </w:r>
      <w:r>
        <w:rPr>
          <w:rFonts w:ascii="Times New Roman" w:eastAsia="方正仿宋简体" w:hAnsi="Times New Roman" w:hint="eastAsia"/>
          <w:sz w:val="30"/>
          <w:szCs w:val="30"/>
        </w:rPr>
        <w:t>；</w:t>
      </w:r>
      <w:r>
        <w:rPr>
          <w:rFonts w:ascii="Times New Roman" w:eastAsia="方正仿宋简体" w:hAnsi="Times New Roman"/>
          <w:sz w:val="30"/>
          <w:szCs w:val="30"/>
        </w:rPr>
        <w:t>交易单位为</w:t>
      </w:r>
      <w:r>
        <w:rPr>
          <w:rFonts w:ascii="Times New Roman" w:eastAsia="方正仿宋简体" w:hAnsi="Times New Roman"/>
          <w:sz w:val="30"/>
          <w:szCs w:val="30"/>
        </w:rPr>
        <w:t>10</w:t>
      </w:r>
      <w:r>
        <w:rPr>
          <w:rFonts w:ascii="Times New Roman" w:eastAsia="方正仿宋简体" w:hAnsi="Times New Roman"/>
          <w:sz w:val="30"/>
          <w:szCs w:val="30"/>
        </w:rPr>
        <w:t>吨</w:t>
      </w:r>
      <w:r>
        <w:rPr>
          <w:rFonts w:ascii="Times New Roman" w:eastAsia="方正仿宋简体" w:hAnsi="Times New Roman"/>
          <w:sz w:val="30"/>
          <w:szCs w:val="30"/>
        </w:rPr>
        <w:t>/</w:t>
      </w:r>
      <w:r>
        <w:rPr>
          <w:rFonts w:ascii="Times New Roman" w:eastAsia="方正仿宋简体" w:hAnsi="Times New Roman" w:hint="eastAsia"/>
          <w:sz w:val="30"/>
          <w:szCs w:val="30"/>
        </w:rPr>
        <w:t>手；</w:t>
      </w:r>
      <w:r>
        <w:rPr>
          <w:rFonts w:ascii="Times New Roman" w:eastAsia="方正仿宋简体" w:hAnsi="Times New Roman"/>
          <w:sz w:val="30"/>
          <w:szCs w:val="30"/>
        </w:rPr>
        <w:t>报价单位为元（人民币）</w:t>
      </w:r>
      <w:r>
        <w:rPr>
          <w:rFonts w:ascii="Times New Roman" w:eastAsia="方正仿宋简体" w:hAnsi="Times New Roman"/>
          <w:sz w:val="30"/>
          <w:szCs w:val="30"/>
        </w:rPr>
        <w:t>/</w:t>
      </w:r>
      <w:r>
        <w:rPr>
          <w:rFonts w:ascii="Times New Roman" w:eastAsia="方正仿宋简体" w:hAnsi="Times New Roman"/>
          <w:sz w:val="30"/>
          <w:szCs w:val="30"/>
        </w:rPr>
        <w:t>吨</w:t>
      </w:r>
      <w:r>
        <w:rPr>
          <w:rFonts w:ascii="Times New Roman" w:eastAsia="方正仿宋简体" w:hAnsi="Times New Roman" w:hint="eastAsia"/>
          <w:sz w:val="30"/>
          <w:szCs w:val="30"/>
        </w:rPr>
        <w:t>；</w:t>
      </w:r>
      <w:r>
        <w:rPr>
          <w:rFonts w:ascii="Times New Roman" w:eastAsia="方正仿宋简体" w:hAnsi="Times New Roman"/>
          <w:sz w:val="30"/>
          <w:szCs w:val="30"/>
        </w:rPr>
        <w:t>最小变动价位为</w:t>
      </w:r>
      <w:r>
        <w:rPr>
          <w:rFonts w:ascii="Times New Roman" w:eastAsia="方正仿宋简体" w:hAnsi="Times New Roman"/>
          <w:sz w:val="30"/>
          <w:szCs w:val="30"/>
        </w:rPr>
        <w:t>5</w:t>
      </w:r>
      <w:r>
        <w:rPr>
          <w:rFonts w:ascii="Times New Roman" w:eastAsia="方正仿宋简体" w:hAnsi="Times New Roman"/>
          <w:sz w:val="30"/>
          <w:szCs w:val="30"/>
        </w:rPr>
        <w:t>元</w:t>
      </w:r>
      <w:r>
        <w:rPr>
          <w:rFonts w:ascii="Times New Roman" w:eastAsia="方正仿宋简体" w:hAnsi="Times New Roman"/>
          <w:sz w:val="30"/>
          <w:szCs w:val="30"/>
        </w:rPr>
        <w:t>/</w:t>
      </w:r>
      <w:r>
        <w:rPr>
          <w:rFonts w:ascii="Times New Roman" w:eastAsia="方正仿宋简体" w:hAnsi="Times New Roman"/>
          <w:sz w:val="30"/>
          <w:szCs w:val="30"/>
        </w:rPr>
        <w:t>吨</w:t>
      </w:r>
      <w:r>
        <w:rPr>
          <w:rFonts w:ascii="Times New Roman" w:eastAsia="方正仿宋简体" w:hAnsi="Times New Roman" w:hint="eastAsia"/>
          <w:sz w:val="30"/>
          <w:szCs w:val="30"/>
        </w:rPr>
        <w:t>；</w:t>
      </w:r>
      <w:r>
        <w:rPr>
          <w:rFonts w:ascii="Times New Roman" w:eastAsia="方正仿宋简体" w:hAnsi="Times New Roman"/>
          <w:sz w:val="30"/>
          <w:szCs w:val="30"/>
        </w:rPr>
        <w:t>涨跌停板幅度为上一交易日结算价</w:t>
      </w:r>
      <w:r w:rsidRPr="00627C62">
        <w:rPr>
          <w:rFonts w:ascii="方正仿宋简体" w:eastAsia="方正仿宋简体" w:hAnsi="Times New Roman" w:hint="eastAsia"/>
          <w:sz w:val="30"/>
          <w:szCs w:val="30"/>
        </w:rPr>
        <w:t>±</w:t>
      </w:r>
      <w:r>
        <w:rPr>
          <w:rFonts w:ascii="Times New Roman" w:eastAsia="方正仿宋简体" w:hAnsi="Times New Roman"/>
          <w:sz w:val="30"/>
          <w:szCs w:val="30"/>
        </w:rPr>
        <w:t>3%</w:t>
      </w:r>
      <w:r>
        <w:rPr>
          <w:rFonts w:ascii="Times New Roman" w:eastAsia="方正仿宋简体" w:hAnsi="Times New Roman" w:hint="eastAsia"/>
          <w:sz w:val="30"/>
          <w:szCs w:val="30"/>
        </w:rPr>
        <w:t>；</w:t>
      </w:r>
      <w:r>
        <w:rPr>
          <w:rFonts w:ascii="Times New Roman" w:eastAsia="方正仿宋简体" w:hAnsi="Times New Roman"/>
          <w:sz w:val="30"/>
          <w:szCs w:val="30"/>
        </w:rPr>
        <w:t>最低交易保证金为合约价值的</w:t>
      </w:r>
      <w:r>
        <w:rPr>
          <w:rFonts w:ascii="Times New Roman" w:eastAsia="方正仿宋简体" w:hAnsi="Times New Roman"/>
          <w:sz w:val="30"/>
          <w:szCs w:val="30"/>
        </w:rPr>
        <w:t>5%</w:t>
      </w:r>
      <w:r>
        <w:rPr>
          <w:rFonts w:ascii="Times New Roman" w:eastAsia="方正仿宋简体" w:hAnsi="Times New Roman" w:hint="eastAsia"/>
          <w:sz w:val="30"/>
          <w:szCs w:val="30"/>
        </w:rPr>
        <w:t>；</w:t>
      </w:r>
      <w:r>
        <w:rPr>
          <w:rFonts w:ascii="Times New Roman" w:eastAsia="方正仿宋简体" w:hAnsi="Times New Roman"/>
          <w:sz w:val="30"/>
          <w:szCs w:val="30"/>
        </w:rPr>
        <w:t>交易代码为</w:t>
      </w:r>
      <w:r>
        <w:rPr>
          <w:rFonts w:ascii="Times New Roman" w:eastAsia="方正仿宋简体" w:hAnsi="Times New Roman"/>
          <w:sz w:val="30"/>
          <w:szCs w:val="30"/>
        </w:rPr>
        <w:t>AD</w:t>
      </w:r>
      <w:r>
        <w:rPr>
          <w:rFonts w:ascii="Times New Roman" w:eastAsia="方正仿宋简体" w:hAnsi="Times New Roman" w:hint="eastAsia"/>
          <w:sz w:val="30"/>
          <w:szCs w:val="30"/>
        </w:rPr>
        <w:t>；</w:t>
      </w:r>
      <w:r>
        <w:rPr>
          <w:rFonts w:ascii="Times New Roman" w:eastAsia="方正仿宋简体" w:hAnsi="Times New Roman"/>
          <w:sz w:val="30"/>
          <w:szCs w:val="30"/>
        </w:rPr>
        <w:t>交割方式为实物交割</w:t>
      </w:r>
      <w:r>
        <w:rPr>
          <w:rFonts w:ascii="Times New Roman" w:eastAsia="方正仿宋简体" w:hAnsi="Times New Roman" w:hint="eastAsia"/>
          <w:sz w:val="30"/>
          <w:szCs w:val="30"/>
        </w:rPr>
        <w:t>；</w:t>
      </w:r>
      <w:r>
        <w:rPr>
          <w:rFonts w:ascii="Times New Roman" w:eastAsia="方正仿宋简体" w:hAnsi="Times New Roman"/>
          <w:sz w:val="30"/>
          <w:szCs w:val="30"/>
        </w:rPr>
        <w:t>交割单位为</w:t>
      </w:r>
      <w:r>
        <w:rPr>
          <w:rFonts w:ascii="Times New Roman" w:eastAsia="方正仿宋简体" w:hAnsi="Times New Roman"/>
          <w:sz w:val="30"/>
          <w:szCs w:val="30"/>
        </w:rPr>
        <w:t>30</w:t>
      </w:r>
      <w:r>
        <w:rPr>
          <w:rFonts w:ascii="Times New Roman" w:eastAsia="方正仿宋简体" w:hAnsi="Times New Roman"/>
          <w:sz w:val="30"/>
          <w:szCs w:val="30"/>
        </w:rPr>
        <w:t>吨</w:t>
      </w:r>
      <w:r>
        <w:rPr>
          <w:rFonts w:ascii="Times New Roman" w:eastAsia="方正仿宋简体" w:hAnsi="Times New Roman" w:hint="eastAsia"/>
          <w:sz w:val="30"/>
          <w:szCs w:val="30"/>
        </w:rPr>
        <w:t>；交割日期为最后交易日后连续二个工作日</w:t>
      </w:r>
      <w:r>
        <w:rPr>
          <w:rFonts w:ascii="Times New Roman" w:eastAsia="方正仿宋简体" w:hAnsi="Times New Roman"/>
          <w:sz w:val="30"/>
          <w:szCs w:val="30"/>
        </w:rPr>
        <w:t>。</w:t>
      </w:r>
    </w:p>
    <w:p w:rsidR="00C25966" w:rsidRDefault="00C25966" w:rsidP="00C25966">
      <w:pPr>
        <w:spacing w:line="560" w:lineRule="exact"/>
        <w:ind w:leftChars="-50" w:left="-105" w:firstLineChars="200" w:firstLine="600"/>
        <w:rPr>
          <w:rFonts w:ascii="Times New Roman" w:eastAsia="方正仿宋简体" w:hAnsi="Times New Roman" w:cstheme="minorBidi"/>
          <w:sz w:val="30"/>
          <w:szCs w:val="30"/>
        </w:rPr>
      </w:pPr>
      <w:r>
        <w:rPr>
          <w:rFonts w:ascii="Times New Roman" w:eastAsia="方正仿宋简体" w:hAnsi="Times New Roman" w:cstheme="minorBidi"/>
          <w:sz w:val="30"/>
          <w:szCs w:val="30"/>
        </w:rPr>
        <w:t>铸造铝合金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期货</w:t>
      </w:r>
      <w:r>
        <w:rPr>
          <w:rFonts w:ascii="Times New Roman" w:eastAsia="方正仿宋简体" w:hAnsi="Times New Roman" w:cstheme="minorBidi"/>
          <w:sz w:val="30"/>
          <w:szCs w:val="30"/>
        </w:rPr>
        <w:t>期权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合约</w:t>
      </w:r>
      <w:r>
        <w:rPr>
          <w:rFonts w:ascii="Times New Roman" w:eastAsia="方正仿宋简体" w:hAnsi="Times New Roman" w:cstheme="minorBidi"/>
          <w:sz w:val="30"/>
          <w:szCs w:val="30"/>
        </w:rPr>
        <w:t>以铸造铝合金期货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合约</w:t>
      </w:r>
      <w:r>
        <w:rPr>
          <w:rFonts w:ascii="Times New Roman" w:eastAsia="方正仿宋简体" w:hAnsi="Times New Roman" w:cstheme="minorBidi"/>
          <w:sz w:val="30"/>
          <w:szCs w:val="30"/>
        </w:rPr>
        <w:t>为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基础</w:t>
      </w:r>
      <w:r>
        <w:rPr>
          <w:rFonts w:ascii="Times New Roman" w:eastAsia="方正仿宋简体" w:hAnsi="Times New Roman" w:cstheme="minorBidi"/>
          <w:sz w:val="30"/>
          <w:szCs w:val="30"/>
        </w:rPr>
        <w:t>，设计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思路</w:t>
      </w:r>
      <w:r>
        <w:rPr>
          <w:rFonts w:ascii="Times New Roman" w:eastAsia="方正仿宋简体" w:hAnsi="Times New Roman" w:cstheme="minorBidi"/>
          <w:sz w:val="30"/>
          <w:szCs w:val="30"/>
        </w:rPr>
        <w:t>与已上市有色金属期权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合约的设计</w:t>
      </w:r>
      <w:r>
        <w:rPr>
          <w:rFonts w:ascii="Times New Roman" w:eastAsia="方正仿宋简体" w:hAnsi="Times New Roman" w:cstheme="minorBidi"/>
          <w:sz w:val="30"/>
          <w:szCs w:val="30"/>
        </w:rPr>
        <w:t>思路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保持</w:t>
      </w:r>
      <w:r>
        <w:rPr>
          <w:rFonts w:ascii="Times New Roman" w:eastAsia="方正仿宋简体" w:hAnsi="Times New Roman" w:cstheme="minorBidi"/>
          <w:sz w:val="30"/>
          <w:szCs w:val="30"/>
        </w:rPr>
        <w:t>一致。铸造铝合金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期货</w:t>
      </w:r>
      <w:r>
        <w:rPr>
          <w:rFonts w:ascii="Times New Roman" w:eastAsia="方正仿宋简体" w:hAnsi="Times New Roman" w:cstheme="minorBidi"/>
          <w:sz w:val="30"/>
          <w:szCs w:val="30"/>
        </w:rPr>
        <w:t>期权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合约标的物为铸造铝合金期货合约；交易单位为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1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手铸造铝合金期货合约；最小变动价位为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1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元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/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吨；</w:t>
      </w:r>
      <w:r>
        <w:rPr>
          <w:rFonts w:ascii="Times New Roman" w:eastAsia="方正仿宋简体" w:hAnsi="Times New Roman" w:cstheme="minorBidi"/>
          <w:sz w:val="30"/>
          <w:szCs w:val="30"/>
        </w:rPr>
        <w:t>报价单位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和涨跌停板幅度与标的铸造</w:t>
      </w:r>
      <w:r>
        <w:rPr>
          <w:rFonts w:ascii="Times New Roman" w:eastAsia="方正仿宋简体" w:hAnsi="Times New Roman" w:cstheme="minorBidi"/>
          <w:sz w:val="30"/>
          <w:szCs w:val="30"/>
        </w:rPr>
        <w:t>铝合金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期货合约的报价单位和涨跌停板幅度相同；合约类型包括看涨期权和看跌期权；行权价格覆盖标的期货合约上一交易日结算价上下浮动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1.5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倍当日涨跌停板幅度对应的价格范围，行权价格≤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10000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元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/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吨，行权价格间距为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50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元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/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吨，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10000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元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/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吨</w:t>
      </w:r>
      <w:r w:rsidRPr="009772B6">
        <w:rPr>
          <w:rFonts w:ascii="仿宋" w:eastAsia="仿宋" w:hAnsi="仿宋" w:cstheme="minorBidi" w:hint="eastAsia"/>
          <w:sz w:val="30"/>
          <w:szCs w:val="30"/>
        </w:rPr>
        <w:t>＜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行权价格≤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20000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元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/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吨，行权价格间距为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100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元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/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吨，行权价格</w:t>
      </w:r>
      <w:r w:rsidRPr="009772B6">
        <w:rPr>
          <w:rFonts w:ascii="仿宋" w:eastAsia="仿宋" w:hAnsi="仿宋" w:cstheme="minorBidi" w:hint="eastAsia"/>
          <w:sz w:val="30"/>
          <w:szCs w:val="30"/>
        </w:rPr>
        <w:t>＞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20000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元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/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吨，行权价格间距为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200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元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/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吨；行权方式为美式，买方可在到期日前任一交易日的交易时间提交行权申请，买方可在到期日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15:30</w:t>
      </w:r>
      <w:r>
        <w:rPr>
          <w:rFonts w:ascii="Times New Roman" w:eastAsia="方正仿宋简体" w:hAnsi="Times New Roman" w:cstheme="minorBidi" w:hint="eastAsia"/>
          <w:sz w:val="30"/>
          <w:szCs w:val="30"/>
        </w:rPr>
        <w:t>之前提交行权申请、放弃申请。</w:t>
      </w:r>
    </w:p>
    <w:p w:rsidR="00C25966" w:rsidRDefault="00C25966" w:rsidP="00C25966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铸造铝合金期货业务细则的主要</w:t>
      </w:r>
      <w:r>
        <w:rPr>
          <w:rFonts w:ascii="黑体" w:eastAsia="黑体" w:hAnsi="黑体"/>
          <w:sz w:val="30"/>
          <w:szCs w:val="30"/>
        </w:rPr>
        <w:t>内容</w:t>
      </w:r>
    </w:p>
    <w:p w:rsidR="00C25966" w:rsidRDefault="00C25966" w:rsidP="00C25966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《</w:t>
      </w:r>
      <w:r>
        <w:rPr>
          <w:rFonts w:ascii="Times New Roman" w:eastAsia="方正仿宋简体" w:hAnsi="Times New Roman" w:hint="eastAsia"/>
          <w:sz w:val="30"/>
          <w:szCs w:val="30"/>
        </w:rPr>
        <w:t>上海期货交易所铸造铝合金期货业务细则</w:t>
      </w:r>
      <w:r>
        <w:rPr>
          <w:rFonts w:ascii="Times New Roman" w:eastAsia="方正仿宋简体" w:hAnsi="Times New Roman"/>
          <w:sz w:val="30"/>
          <w:szCs w:val="30"/>
        </w:rPr>
        <w:t>》</w:t>
      </w:r>
      <w:r>
        <w:rPr>
          <w:rFonts w:ascii="Times New Roman" w:eastAsia="方正仿宋简体" w:hAnsi="Times New Roman" w:hint="eastAsia"/>
          <w:sz w:val="30"/>
          <w:szCs w:val="30"/>
        </w:rPr>
        <w:t>共</w:t>
      </w:r>
      <w:r>
        <w:rPr>
          <w:rFonts w:ascii="Times New Roman" w:eastAsia="方正仿宋简体" w:hAnsi="Times New Roman"/>
          <w:sz w:val="30"/>
          <w:szCs w:val="30"/>
        </w:rPr>
        <w:t>五章</w:t>
      </w:r>
      <w:r>
        <w:rPr>
          <w:rFonts w:ascii="Times New Roman" w:eastAsia="方正仿宋简体" w:hAnsi="Times New Roman" w:hint="eastAsia"/>
          <w:sz w:val="30"/>
          <w:szCs w:val="30"/>
        </w:rPr>
        <w:t>：第一章“总则”，主要规定了制定依据和适用范围。第二章“交易业务”，主要规定了交易单位、交易时间、合约月份以及套期保值交易头寸和套利交易头寸的申请方式等。第三章“交割业务”分为</w:t>
      </w:r>
      <w:r>
        <w:rPr>
          <w:rFonts w:ascii="Times New Roman" w:eastAsia="方正仿宋简体" w:hAnsi="Times New Roman"/>
          <w:sz w:val="30"/>
          <w:szCs w:val="30"/>
        </w:rPr>
        <w:t>两节</w:t>
      </w:r>
      <w:r>
        <w:rPr>
          <w:rFonts w:ascii="Times New Roman" w:eastAsia="方正仿宋简体" w:hAnsi="Times New Roman" w:hint="eastAsia"/>
          <w:sz w:val="30"/>
          <w:szCs w:val="30"/>
        </w:rPr>
        <w:t>，第一节主要规定了标准</w:t>
      </w:r>
      <w:r>
        <w:rPr>
          <w:rFonts w:ascii="Times New Roman" w:eastAsia="方正仿宋简体" w:hAnsi="Times New Roman"/>
          <w:sz w:val="30"/>
          <w:szCs w:val="30"/>
        </w:rPr>
        <w:t>仓单有效期、</w:t>
      </w:r>
      <w:r>
        <w:rPr>
          <w:rFonts w:ascii="Times New Roman" w:eastAsia="方正仿宋简体" w:hAnsi="Times New Roman" w:hint="eastAsia"/>
          <w:sz w:val="30"/>
          <w:szCs w:val="30"/>
        </w:rPr>
        <w:t>交割商品的规格</w:t>
      </w:r>
      <w:r>
        <w:rPr>
          <w:rFonts w:ascii="Times New Roman" w:eastAsia="方正仿宋简体" w:hAnsi="Times New Roman"/>
          <w:sz w:val="30"/>
          <w:szCs w:val="30"/>
        </w:rPr>
        <w:t>与包装</w:t>
      </w:r>
      <w:r>
        <w:rPr>
          <w:rFonts w:ascii="Times New Roman" w:eastAsia="方正仿宋简体" w:hAnsi="Times New Roman" w:hint="eastAsia"/>
          <w:sz w:val="30"/>
          <w:szCs w:val="30"/>
        </w:rPr>
        <w:t>、必备</w:t>
      </w:r>
      <w:r>
        <w:rPr>
          <w:rFonts w:ascii="Times New Roman" w:eastAsia="方正仿宋简体" w:hAnsi="Times New Roman"/>
          <w:sz w:val="30"/>
          <w:szCs w:val="30"/>
        </w:rPr>
        <w:t>单证、</w:t>
      </w:r>
      <w:r>
        <w:rPr>
          <w:rFonts w:ascii="Times New Roman" w:eastAsia="方正仿宋简体" w:hAnsi="Times New Roman" w:hint="eastAsia"/>
          <w:sz w:val="30"/>
          <w:szCs w:val="30"/>
        </w:rPr>
        <w:t>交割结算价、</w:t>
      </w:r>
      <w:r>
        <w:rPr>
          <w:rFonts w:ascii="Times New Roman" w:eastAsia="方正仿宋简体" w:hAnsi="Times New Roman"/>
          <w:sz w:val="30"/>
          <w:szCs w:val="30"/>
        </w:rPr>
        <w:t>质量异议期</w:t>
      </w:r>
      <w:r>
        <w:rPr>
          <w:rFonts w:ascii="Times New Roman" w:eastAsia="方正仿宋简体" w:hAnsi="Times New Roman" w:hint="eastAsia"/>
          <w:sz w:val="30"/>
          <w:szCs w:val="30"/>
        </w:rPr>
        <w:t>等；第二节主要规定</w:t>
      </w:r>
      <w:r>
        <w:rPr>
          <w:rFonts w:ascii="Times New Roman" w:eastAsia="方正仿宋简体" w:hAnsi="Times New Roman"/>
          <w:sz w:val="30"/>
          <w:szCs w:val="30"/>
        </w:rPr>
        <w:t>了</w:t>
      </w:r>
      <w:r>
        <w:rPr>
          <w:rFonts w:ascii="Times New Roman" w:eastAsia="方正仿宋简体" w:hAnsi="Times New Roman" w:hint="eastAsia"/>
          <w:sz w:val="30"/>
          <w:szCs w:val="30"/>
        </w:rPr>
        <w:t>铸造</w:t>
      </w:r>
      <w:r>
        <w:rPr>
          <w:rFonts w:ascii="Times New Roman" w:eastAsia="方正仿宋简体" w:hAnsi="Times New Roman"/>
          <w:sz w:val="30"/>
          <w:szCs w:val="30"/>
        </w:rPr>
        <w:t>铝合金</w:t>
      </w:r>
      <w:r>
        <w:rPr>
          <w:rFonts w:ascii="Times New Roman" w:eastAsia="方正仿宋简体" w:hAnsi="Times New Roman" w:hint="eastAsia"/>
          <w:sz w:val="30"/>
          <w:szCs w:val="30"/>
        </w:rPr>
        <w:t>交割两方</w:t>
      </w:r>
      <w:r>
        <w:rPr>
          <w:rFonts w:ascii="Times New Roman" w:eastAsia="方正仿宋简体" w:hAnsi="Times New Roman"/>
          <w:sz w:val="30"/>
          <w:szCs w:val="30"/>
        </w:rPr>
        <w:t>开票</w:t>
      </w:r>
      <w:r>
        <w:rPr>
          <w:rFonts w:ascii="Times New Roman" w:eastAsia="方正仿宋简体" w:hAnsi="Times New Roman" w:hint="eastAsia"/>
          <w:sz w:val="30"/>
          <w:szCs w:val="30"/>
        </w:rPr>
        <w:t>流程。第四章“风险管理”，主要规定了合约时间梯度保证金标准、持仓限额、交割月持仓整数倍调整、强制减仓等。第五章“附则”，主要规定了上期所的</w:t>
      </w:r>
      <w:r>
        <w:rPr>
          <w:rFonts w:ascii="Times New Roman" w:eastAsia="方正仿宋简体" w:hAnsi="Times New Roman"/>
          <w:sz w:val="30"/>
          <w:szCs w:val="30"/>
        </w:rPr>
        <w:t>解释权及</w:t>
      </w:r>
      <w:r>
        <w:rPr>
          <w:rFonts w:ascii="Times New Roman" w:eastAsia="方正仿宋简体" w:hAnsi="Times New Roman" w:hint="eastAsia"/>
          <w:sz w:val="30"/>
          <w:szCs w:val="30"/>
        </w:rPr>
        <w:t>细则</w:t>
      </w:r>
      <w:r>
        <w:rPr>
          <w:rFonts w:ascii="Times New Roman" w:eastAsia="方正仿宋简体" w:hAnsi="Times New Roman"/>
          <w:sz w:val="30"/>
          <w:szCs w:val="30"/>
        </w:rPr>
        <w:t>实施日期</w:t>
      </w:r>
      <w:r>
        <w:rPr>
          <w:rFonts w:ascii="Times New Roman" w:eastAsia="方正仿宋简体" w:hAnsi="Times New Roman" w:hint="eastAsia"/>
          <w:sz w:val="30"/>
          <w:szCs w:val="30"/>
        </w:rPr>
        <w:t>。</w:t>
      </w:r>
      <w:bookmarkStart w:id="0" w:name="_GoBack"/>
      <w:bookmarkEnd w:id="0"/>
    </w:p>
    <w:p w:rsidR="006E2CD3" w:rsidRPr="00C25966" w:rsidRDefault="006E2CD3"/>
    <w:sectPr w:rsidR="006E2CD3" w:rsidRPr="00C25966" w:rsidSect="006E2CD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DB9" w:rsidRDefault="00D36DB9" w:rsidP="00C25966">
      <w:r>
        <w:separator/>
      </w:r>
    </w:p>
  </w:endnote>
  <w:endnote w:type="continuationSeparator" w:id="0">
    <w:p w:rsidR="00D36DB9" w:rsidRDefault="00D36DB9" w:rsidP="00C2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7437"/>
      <w:docPartObj>
        <w:docPartGallery w:val="Page Numbers (Bottom of Page)"/>
        <w:docPartUnique/>
      </w:docPartObj>
    </w:sdtPr>
    <w:sdtEndPr/>
    <w:sdtContent>
      <w:p w:rsidR="00C25966" w:rsidRDefault="00D36DB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36DB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25966" w:rsidRDefault="00C259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DB9" w:rsidRDefault="00D36DB9" w:rsidP="00C25966">
      <w:r>
        <w:separator/>
      </w:r>
    </w:p>
  </w:footnote>
  <w:footnote w:type="continuationSeparator" w:id="0">
    <w:p w:rsidR="00D36DB9" w:rsidRDefault="00D36DB9" w:rsidP="00C2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5966"/>
    <w:rsid w:val="005C54D9"/>
    <w:rsid w:val="006E2CD3"/>
    <w:rsid w:val="006F11FA"/>
    <w:rsid w:val="00BB610C"/>
    <w:rsid w:val="00C25966"/>
    <w:rsid w:val="00D36DB9"/>
    <w:rsid w:val="00D45D6C"/>
    <w:rsid w:val="00E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5130E-58F8-4794-A54F-CF6FFD0D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9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9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1179</Characters>
  <Application>Microsoft Office Word</Application>
  <DocSecurity>0</DocSecurity>
  <Lines>9</Lines>
  <Paragraphs>2</Paragraphs>
  <ScaleCrop>false</ScaleCrop>
  <Company>SHFE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季铄人</dc:creator>
  <cp:lastModifiedBy>shfe</cp:lastModifiedBy>
  <cp:revision>3</cp:revision>
  <dcterms:created xsi:type="dcterms:W3CDTF">2025-04-25T01:19:00Z</dcterms:created>
  <dcterms:modified xsi:type="dcterms:W3CDTF">2025-04-25T02:43:00Z</dcterms:modified>
</cp:coreProperties>
</file>