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F2" w:rsidRDefault="00A777F2" w:rsidP="00233FF9">
      <w:pPr>
        <w:adjustRightInd w:val="0"/>
        <w:snapToGrid w:val="0"/>
        <w:rPr>
          <w:rFonts w:ascii="Times New Roman" w:eastAsia="方正大标宋简体" w:hAnsi="Times New Roman"/>
          <w:sz w:val="42"/>
          <w:szCs w:val="42"/>
        </w:rPr>
      </w:pPr>
      <w:r w:rsidRPr="00233FF9">
        <w:rPr>
          <w:rFonts w:ascii="Times New Roman" w:eastAsia="方正大标宋简体" w:hAnsi="Times New Roman" w:hint="eastAsia"/>
          <w:sz w:val="42"/>
          <w:szCs w:val="42"/>
        </w:rPr>
        <w:t>附件</w:t>
      </w:r>
      <w:r w:rsidRPr="00233FF9">
        <w:rPr>
          <w:rFonts w:ascii="Times New Roman" w:eastAsia="方正大标宋简体" w:hAnsi="Times New Roman"/>
          <w:sz w:val="42"/>
          <w:szCs w:val="42"/>
        </w:rPr>
        <w:t>1</w:t>
      </w:r>
    </w:p>
    <w:p w:rsidR="00233FF9" w:rsidRPr="00233FF9" w:rsidRDefault="00233FF9" w:rsidP="00233FF9"/>
    <w:p w:rsidR="00A777F2" w:rsidRDefault="00A777F2" w:rsidP="00233FF9">
      <w:pPr>
        <w:adjustRightInd w:val="0"/>
        <w:snapToGrid w:val="0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 w:hint="eastAsia"/>
          <w:sz w:val="42"/>
          <w:szCs w:val="42"/>
        </w:rPr>
        <w:t>起草说明</w:t>
      </w:r>
    </w:p>
    <w:p w:rsidR="00A777F2" w:rsidRPr="00233FF9" w:rsidRDefault="00A777F2" w:rsidP="00233FF9"/>
    <w:p w:rsidR="00AB2231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为进一步提升期货市场服务实体经济的能力，提升铝产业链相关企业风险管理水平，促进形成公开、公正、公平的价格体系，提高我国氧化铝市场的价格影响力，上海期货交易所（下称上期所）拟上市氧化铝期货，</w:t>
      </w:r>
      <w:r w:rsidR="009A5AEB">
        <w:rPr>
          <w:rFonts w:ascii="Times New Roman" w:eastAsia="方正仿宋简体" w:hAnsi="Times New Roman" w:hint="eastAsia"/>
          <w:sz w:val="30"/>
          <w:szCs w:val="30"/>
        </w:rPr>
        <w:t>服务铝行业高质量发展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p w:rsidR="00A777F2" w:rsidRPr="00AB2231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黑体简体" w:hAnsi="Times New Roman" w:hint="eastAsia"/>
          <w:sz w:val="30"/>
          <w:szCs w:val="30"/>
        </w:rPr>
        <w:t>一、氧化铝期货主要特征</w:t>
      </w:r>
    </w:p>
    <w:p w:rsidR="00A777F2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氧化铝是一种难溶于水的白色粉状或砂状物体，理化性能稳定。氧化铝是生产电解铝的基本原料，全球产量的</w:t>
      </w:r>
      <w:r>
        <w:rPr>
          <w:rFonts w:ascii="Times New Roman" w:eastAsia="方正仿宋简体" w:hAnsi="Times New Roman"/>
          <w:sz w:val="30"/>
          <w:szCs w:val="30"/>
        </w:rPr>
        <w:t>95%</w:t>
      </w:r>
      <w:r>
        <w:rPr>
          <w:rFonts w:ascii="Times New Roman" w:eastAsia="方正仿宋简体" w:hAnsi="Times New Roman" w:hint="eastAsia"/>
          <w:sz w:val="30"/>
          <w:szCs w:val="30"/>
        </w:rPr>
        <w:t>左右用于生产电解铝，氧化铝也可用于制作各种耐火砖、陶瓷、阻燃剂。</w:t>
      </w:r>
    </w:p>
    <w:p w:rsidR="00A777F2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氧化铝外包装袋材质通常为聚丙烯，内部防潮袋材质为聚乙烯。氧化铝可堆放在室内和室外，其中，室内的氧化铝要求单独存放，与其它货物有物理间隔；室外的氧化铝同样要求单独存放，</w:t>
      </w:r>
      <w:r w:rsidR="005F4401">
        <w:rPr>
          <w:rFonts w:ascii="Times New Roman" w:eastAsia="方正仿宋简体" w:hAnsi="Times New Roman" w:hint="eastAsia"/>
          <w:sz w:val="30"/>
          <w:szCs w:val="30"/>
        </w:rPr>
        <w:t>做好防水、防雨和防晒等措施</w:t>
      </w:r>
      <w:r>
        <w:rPr>
          <w:rFonts w:ascii="Times New Roman" w:eastAsia="方正仿宋简体" w:hAnsi="Times New Roman" w:hint="eastAsia"/>
          <w:sz w:val="30"/>
          <w:szCs w:val="30"/>
        </w:rPr>
        <w:t>。氧化铝采用铁路集装箱、铁路敞车或者汽车运输，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储运便利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p w:rsidR="00A777F2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用于实物交割的氧化铝，应当是上期所批准的注册品牌或者</w:t>
      </w:r>
      <w:r w:rsidR="00675327">
        <w:rPr>
          <w:rFonts w:ascii="Times New Roman" w:eastAsia="方正仿宋简体" w:hAnsi="Times New Roman" w:hint="eastAsia"/>
          <w:sz w:val="30"/>
          <w:szCs w:val="30"/>
        </w:rPr>
        <w:t>上期所</w:t>
      </w:r>
      <w:r>
        <w:rPr>
          <w:rFonts w:ascii="Times New Roman" w:eastAsia="方正仿宋简体" w:hAnsi="Times New Roman" w:hint="eastAsia"/>
          <w:sz w:val="30"/>
          <w:szCs w:val="30"/>
        </w:rPr>
        <w:t>认可的生产企业生产的氧化铝</w:t>
      </w:r>
      <w:r w:rsidR="00FD706B">
        <w:rPr>
          <w:rFonts w:ascii="Times New Roman" w:eastAsia="方正仿宋简体" w:hAnsi="Times New Roman" w:hint="eastAsia"/>
          <w:sz w:val="30"/>
          <w:szCs w:val="30"/>
        </w:rPr>
        <w:t>，其主要化学成分和主要物理性能、包装、溢短、磅差等应符合上期所相关规定</w:t>
      </w:r>
      <w:r w:rsidR="009A5AEB">
        <w:rPr>
          <w:rFonts w:eastAsia="方正仿宋简体" w:hint="eastAsia"/>
          <w:color w:val="000000"/>
          <w:kern w:val="0"/>
          <w:sz w:val="30"/>
          <w:szCs w:val="30"/>
        </w:rPr>
        <w:t>。</w:t>
      </w:r>
    </w:p>
    <w:p w:rsidR="00A777F2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>
        <w:rPr>
          <w:rFonts w:ascii="Times New Roman" w:eastAsia="方正黑体简体" w:hAnsi="Times New Roman" w:hint="eastAsia"/>
          <w:sz w:val="30"/>
          <w:szCs w:val="30"/>
        </w:rPr>
        <w:t>二、氧化铝期货合约参数</w:t>
      </w:r>
    </w:p>
    <w:p w:rsidR="00A777F2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根据此次公布的氧化铝合约（征求意见稿），氧化铝交易单位为</w:t>
      </w:r>
      <w:r>
        <w:rPr>
          <w:rFonts w:ascii="Times New Roman" w:eastAsia="方正仿宋简体" w:hAnsi="Times New Roman"/>
          <w:sz w:val="30"/>
          <w:szCs w:val="30"/>
        </w:rPr>
        <w:t>20</w:t>
      </w:r>
      <w:r>
        <w:rPr>
          <w:rFonts w:ascii="Times New Roman" w:eastAsia="方正仿宋简体" w:hAnsi="Times New Roman" w:hint="eastAsia"/>
          <w:sz w:val="30"/>
          <w:szCs w:val="30"/>
        </w:rPr>
        <w:t>吨</w:t>
      </w:r>
      <w:r>
        <w:rPr>
          <w:rFonts w:ascii="Times New Roman" w:eastAsia="方正仿宋简体" w:hAnsi="Times New Roman"/>
          <w:sz w:val="30"/>
          <w:szCs w:val="30"/>
        </w:rPr>
        <w:t>/</w:t>
      </w:r>
      <w:r>
        <w:rPr>
          <w:rFonts w:ascii="Times New Roman" w:eastAsia="方正仿宋简体" w:hAnsi="Times New Roman" w:hint="eastAsia"/>
          <w:sz w:val="30"/>
          <w:szCs w:val="30"/>
        </w:rPr>
        <w:t>手；报价单位为元（人民币）</w:t>
      </w:r>
      <w:r>
        <w:rPr>
          <w:rFonts w:ascii="Times New Roman" w:eastAsia="方正仿宋简体" w:hAnsi="Times New Roman"/>
          <w:sz w:val="30"/>
          <w:szCs w:val="30"/>
        </w:rPr>
        <w:t>/</w:t>
      </w:r>
      <w:r>
        <w:rPr>
          <w:rFonts w:ascii="Times New Roman" w:eastAsia="方正仿宋简体" w:hAnsi="Times New Roman" w:hint="eastAsia"/>
          <w:sz w:val="30"/>
          <w:szCs w:val="30"/>
        </w:rPr>
        <w:t>吨；最小变动价位为</w:t>
      </w:r>
      <w:r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元</w:t>
      </w:r>
      <w:r>
        <w:rPr>
          <w:rFonts w:ascii="Times New Roman" w:eastAsia="方正仿宋简体" w:hAnsi="Times New Roman"/>
          <w:sz w:val="30"/>
          <w:szCs w:val="30"/>
        </w:rPr>
        <w:t>/</w:t>
      </w:r>
      <w:r>
        <w:rPr>
          <w:rFonts w:ascii="Times New Roman" w:eastAsia="方正仿宋简体" w:hAnsi="Times New Roman" w:hint="eastAsia"/>
          <w:sz w:val="30"/>
          <w:szCs w:val="30"/>
        </w:rPr>
        <w:t>吨；涨跌停板幅度为上一交易日结算价</w:t>
      </w:r>
      <w:r>
        <w:rPr>
          <w:rFonts w:ascii="Times New Roman" w:eastAsia="方正仿宋简体" w:hAnsi="Times New Roman"/>
          <w:sz w:val="30"/>
          <w:szCs w:val="30"/>
        </w:rPr>
        <w:t>±4%</w:t>
      </w:r>
      <w:r>
        <w:rPr>
          <w:rFonts w:ascii="Times New Roman" w:eastAsia="方正仿宋简体" w:hAnsi="Times New Roman" w:hint="eastAsia"/>
          <w:sz w:val="30"/>
          <w:szCs w:val="30"/>
        </w:rPr>
        <w:t>；合约月份为</w:t>
      </w:r>
      <w:r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Times New Roman" w:eastAsia="方正仿宋简体" w:hAnsi="Times New Roman"/>
          <w:color w:val="000000"/>
        </w:rPr>
        <w:t xml:space="preserve">~ </w:t>
      </w:r>
      <w:r>
        <w:rPr>
          <w:rFonts w:ascii="Times New Roman" w:eastAsia="方正仿宋简体" w:hAnsi="Times New Roman"/>
          <w:sz w:val="30"/>
          <w:szCs w:val="30"/>
        </w:rPr>
        <w:t>12</w:t>
      </w:r>
      <w:r>
        <w:rPr>
          <w:rFonts w:ascii="Times New Roman" w:eastAsia="方正仿宋简体" w:hAnsi="Times New Roman" w:hint="eastAsia"/>
          <w:sz w:val="30"/>
          <w:szCs w:val="30"/>
        </w:rPr>
        <w:t>月；交易时间为上午</w:t>
      </w:r>
      <w:r>
        <w:rPr>
          <w:rFonts w:ascii="Times New Roman" w:eastAsia="方正仿宋简体" w:hAnsi="Times New Roman"/>
          <w:sz w:val="30"/>
          <w:szCs w:val="30"/>
        </w:rPr>
        <w:t>9:00</w:t>
      </w:r>
      <w:r>
        <w:rPr>
          <w:rFonts w:ascii="Times New Roman" w:eastAsia="方正仿宋简体" w:hAnsi="Times New Roman"/>
          <w:color w:val="000000"/>
        </w:rPr>
        <w:t>~</w:t>
      </w:r>
      <w:r>
        <w:rPr>
          <w:rFonts w:ascii="Times New Roman" w:eastAsia="方正仿宋简体" w:hAnsi="Times New Roman"/>
          <w:sz w:val="30"/>
          <w:szCs w:val="30"/>
        </w:rPr>
        <w:t>11:30</w:t>
      </w:r>
      <w:r>
        <w:rPr>
          <w:rFonts w:ascii="Times New Roman" w:eastAsia="方正仿宋简体" w:hAnsi="Times New Roman" w:hint="eastAsia"/>
          <w:sz w:val="30"/>
          <w:szCs w:val="30"/>
        </w:rPr>
        <w:t>，下午</w:t>
      </w:r>
      <w:r>
        <w:rPr>
          <w:rFonts w:ascii="Times New Roman" w:eastAsia="方正仿宋简体" w:hAnsi="Times New Roman"/>
          <w:sz w:val="30"/>
          <w:szCs w:val="30"/>
        </w:rPr>
        <w:t>1:30</w:t>
      </w:r>
      <w:r>
        <w:rPr>
          <w:rFonts w:ascii="Times New Roman" w:eastAsia="方正仿宋简体" w:hAnsi="Times New Roman"/>
          <w:color w:val="000000"/>
        </w:rPr>
        <w:t xml:space="preserve">~ </w:t>
      </w:r>
      <w:r>
        <w:rPr>
          <w:rFonts w:ascii="Times New Roman" w:eastAsia="方正仿宋简体" w:hAnsi="Times New Roman"/>
          <w:sz w:val="30"/>
          <w:szCs w:val="30"/>
        </w:rPr>
        <w:t>3:00</w:t>
      </w:r>
      <w:r>
        <w:rPr>
          <w:rFonts w:ascii="Times New Roman" w:eastAsia="方正仿宋简体" w:hAnsi="Times New Roman" w:hint="eastAsia"/>
          <w:sz w:val="30"/>
          <w:szCs w:val="30"/>
        </w:rPr>
        <w:t>和</w:t>
      </w:r>
      <w:r w:rsidR="00675327">
        <w:rPr>
          <w:rFonts w:ascii="Times New Roman" w:eastAsia="方正仿宋简体" w:hAnsi="Times New Roman" w:hint="eastAsia"/>
          <w:sz w:val="30"/>
          <w:szCs w:val="30"/>
        </w:rPr>
        <w:t>上期所</w:t>
      </w:r>
      <w:r>
        <w:rPr>
          <w:rFonts w:ascii="Times New Roman" w:eastAsia="方正仿宋简体" w:hAnsi="Times New Roman" w:hint="eastAsia"/>
          <w:sz w:val="30"/>
          <w:szCs w:val="30"/>
        </w:rPr>
        <w:t>规定</w:t>
      </w:r>
      <w:r>
        <w:rPr>
          <w:rFonts w:ascii="Times New Roman" w:eastAsia="方正仿宋简体" w:hAnsi="Times New Roman" w:hint="eastAsia"/>
          <w:sz w:val="30"/>
          <w:szCs w:val="30"/>
        </w:rPr>
        <w:lastRenderedPageBreak/>
        <w:t>的其他交易时间；最后交易日为合约月份的</w:t>
      </w:r>
      <w:r>
        <w:rPr>
          <w:rFonts w:ascii="Times New Roman" w:eastAsia="方正仿宋简体" w:hAnsi="Times New Roman"/>
          <w:sz w:val="30"/>
          <w:szCs w:val="30"/>
        </w:rPr>
        <w:t>15</w:t>
      </w:r>
      <w:r>
        <w:rPr>
          <w:rFonts w:ascii="Times New Roman" w:eastAsia="方正仿宋简体" w:hAnsi="Times New Roman" w:hint="eastAsia"/>
          <w:sz w:val="30"/>
          <w:szCs w:val="30"/>
        </w:rPr>
        <w:t>日（遇国家法定节假日顺延</w:t>
      </w:r>
      <w:r>
        <w:rPr>
          <w:rFonts w:ascii="Times New Roman" w:eastAsia="方正仿宋简体" w:hAnsi="Times New Roman"/>
          <w:sz w:val="30"/>
          <w:szCs w:val="30"/>
        </w:rPr>
        <w:t>,</w:t>
      </w:r>
      <w:r>
        <w:rPr>
          <w:rFonts w:ascii="Times New Roman" w:eastAsia="方正仿宋简体" w:hAnsi="Times New Roman" w:hint="eastAsia"/>
          <w:sz w:val="30"/>
          <w:szCs w:val="30"/>
        </w:rPr>
        <w:t>春节月份等最后交易日</w:t>
      </w:r>
      <w:r w:rsidR="00675327">
        <w:rPr>
          <w:rFonts w:ascii="Times New Roman" w:eastAsia="方正仿宋简体" w:hAnsi="Times New Roman" w:hint="eastAsia"/>
          <w:sz w:val="30"/>
          <w:szCs w:val="30"/>
        </w:rPr>
        <w:t>上期所</w:t>
      </w:r>
      <w:r>
        <w:rPr>
          <w:rFonts w:ascii="Times New Roman" w:eastAsia="方正仿宋简体" w:hAnsi="Times New Roman" w:hint="eastAsia"/>
          <w:sz w:val="30"/>
          <w:szCs w:val="30"/>
        </w:rPr>
        <w:t>可另行调整并通知）；交割日期为最后交易日后连续</w:t>
      </w:r>
      <w:r w:rsidR="009A5AEB">
        <w:rPr>
          <w:rFonts w:ascii="Times New Roman" w:eastAsia="方正仿宋简体" w:hAnsi="Times New Roman" w:hint="eastAsia"/>
          <w:sz w:val="30"/>
          <w:szCs w:val="30"/>
        </w:rPr>
        <w:t>二</w:t>
      </w:r>
      <w:r>
        <w:rPr>
          <w:rFonts w:ascii="Times New Roman" w:eastAsia="方正仿宋简体" w:hAnsi="Times New Roman" w:hint="eastAsia"/>
          <w:sz w:val="30"/>
          <w:szCs w:val="30"/>
        </w:rPr>
        <w:t>个工作日；交割品级为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主要化学成分和主要物理性能符合国标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GB/T 24487-2022 AO-1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或者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AO-2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牌号的规定的氧化铝</w:t>
      </w:r>
      <w:r>
        <w:rPr>
          <w:rFonts w:ascii="Times New Roman" w:eastAsia="方正仿宋简体" w:hAnsi="Times New Roman" w:hint="eastAsia"/>
          <w:sz w:val="30"/>
          <w:szCs w:val="30"/>
        </w:rPr>
        <w:t>；最低交易保证金为合约价值的</w:t>
      </w:r>
      <w:r>
        <w:rPr>
          <w:rFonts w:ascii="Times New Roman" w:eastAsia="方正仿宋简体" w:hAnsi="Times New Roman"/>
          <w:sz w:val="30"/>
          <w:szCs w:val="30"/>
        </w:rPr>
        <w:t>5%</w:t>
      </w:r>
      <w:r>
        <w:rPr>
          <w:rFonts w:ascii="Times New Roman" w:eastAsia="方正仿宋简体" w:hAnsi="Times New Roman" w:hint="eastAsia"/>
          <w:sz w:val="30"/>
          <w:szCs w:val="30"/>
        </w:rPr>
        <w:t>；交割方式为实物交割；交割单位为</w:t>
      </w:r>
      <w:r>
        <w:rPr>
          <w:rFonts w:ascii="Times New Roman" w:eastAsia="方正仿宋简体" w:hAnsi="Times New Roman"/>
          <w:sz w:val="30"/>
          <w:szCs w:val="30"/>
        </w:rPr>
        <w:t>300</w:t>
      </w:r>
      <w:r>
        <w:rPr>
          <w:rFonts w:ascii="Times New Roman" w:eastAsia="方正仿宋简体" w:hAnsi="Times New Roman" w:hint="eastAsia"/>
          <w:sz w:val="30"/>
          <w:szCs w:val="30"/>
        </w:rPr>
        <w:t>吨；交易代码为</w:t>
      </w:r>
      <w:r>
        <w:rPr>
          <w:rFonts w:ascii="Times New Roman" w:eastAsia="方正仿宋简体" w:hAnsi="Times New Roman"/>
          <w:sz w:val="30"/>
          <w:szCs w:val="30"/>
        </w:rPr>
        <w:t>AO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p w:rsidR="00A777F2" w:rsidRDefault="00A777F2" w:rsidP="00675327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>
        <w:rPr>
          <w:rFonts w:ascii="Times New Roman" w:eastAsia="方正黑体简体" w:hAnsi="Times New Roman" w:hint="eastAsia"/>
          <w:sz w:val="30"/>
          <w:szCs w:val="30"/>
        </w:rPr>
        <w:t>三、氧化铝期货业务规则主要修订</w:t>
      </w:r>
    </w:p>
    <w:p w:rsidR="00133279" w:rsidRPr="00233FF9" w:rsidRDefault="00A777F2" w:rsidP="00233FF9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在上期所现有业务规则框架下，随着氧化铝品种的引入，规则层面的修订主要体现在以下几个方面：一是制定氧化铝期货合约；二是在《上海期货交易所交割细则》中新增一章，为氧化铝的交割，涉及交割品管理等；三是制定《上海期货交易所指定氧化铝厂库交割办法</w:t>
      </w:r>
      <w:r w:rsidR="00314DBD">
        <w:rPr>
          <w:rFonts w:ascii="Times New Roman" w:eastAsia="方正仿宋简体" w:hAnsi="Times New Roman" w:hint="eastAsia"/>
          <w:sz w:val="30"/>
          <w:szCs w:val="30"/>
        </w:rPr>
        <w:t>（试行）</w:t>
      </w:r>
      <w:r>
        <w:rPr>
          <w:rFonts w:ascii="Times New Roman" w:eastAsia="方正仿宋简体" w:hAnsi="Times New Roman" w:hint="eastAsia"/>
          <w:sz w:val="30"/>
          <w:szCs w:val="30"/>
        </w:rPr>
        <w:t>》，规定氧化铝厂库标准仓单的生成、流转、注销等；四是在《上海期货交易所风险控制管理办法》中增加氧化铝期货的风险控制参数；五是在《上海期货交易所结算细则》等</w:t>
      </w:r>
      <w:r>
        <w:rPr>
          <w:rFonts w:ascii="Times New Roman" w:eastAsia="方正仿宋简体" w:hAnsi="Times New Roman"/>
          <w:sz w:val="30"/>
          <w:szCs w:val="30"/>
        </w:rPr>
        <w:t>4</w:t>
      </w:r>
      <w:r>
        <w:rPr>
          <w:rFonts w:ascii="Times New Roman" w:eastAsia="方正仿宋简体" w:hAnsi="Times New Roman" w:hint="eastAsia"/>
          <w:sz w:val="30"/>
          <w:szCs w:val="30"/>
        </w:rPr>
        <w:t>项业务规则中增加氧化铝交割结算基准价、套期保值交易、套利交易等相关内容。</w:t>
      </w:r>
      <w:bookmarkStart w:id="0" w:name="_GoBack"/>
      <w:bookmarkEnd w:id="0"/>
    </w:p>
    <w:sectPr w:rsidR="00133279" w:rsidRPr="00233FF9" w:rsidSect="00233FF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3B" w:rsidRDefault="004D633B" w:rsidP="00AB2231">
      <w:r>
        <w:separator/>
      </w:r>
    </w:p>
  </w:endnote>
  <w:endnote w:type="continuationSeparator" w:id="0">
    <w:p w:rsidR="004D633B" w:rsidRDefault="004D633B" w:rsidP="00AB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107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33FF9" w:rsidRPr="00233FF9" w:rsidRDefault="00233FF9">
        <w:pPr>
          <w:pStyle w:val="a4"/>
          <w:jc w:val="center"/>
          <w:rPr>
            <w:rFonts w:ascii="Times New Roman" w:hAnsi="Times New Roman"/>
            <w:sz w:val="24"/>
          </w:rPr>
        </w:pPr>
        <w:r w:rsidRPr="00233FF9">
          <w:rPr>
            <w:rFonts w:ascii="Times New Roman" w:hAnsi="Times New Roman"/>
            <w:sz w:val="24"/>
          </w:rPr>
          <w:fldChar w:fldCharType="begin"/>
        </w:r>
        <w:r w:rsidRPr="00233FF9">
          <w:rPr>
            <w:rFonts w:ascii="Times New Roman" w:hAnsi="Times New Roman"/>
            <w:sz w:val="24"/>
          </w:rPr>
          <w:instrText>PAGE   \* MERGEFORMAT</w:instrText>
        </w:r>
        <w:r w:rsidRPr="00233FF9">
          <w:rPr>
            <w:rFonts w:ascii="Times New Roman" w:hAnsi="Times New Roman"/>
            <w:sz w:val="24"/>
          </w:rPr>
          <w:fldChar w:fldCharType="separate"/>
        </w:r>
        <w:r w:rsidR="004D633B" w:rsidRPr="004D633B">
          <w:rPr>
            <w:rFonts w:ascii="Times New Roman" w:hAnsi="Times New Roman"/>
            <w:noProof/>
            <w:sz w:val="24"/>
            <w:lang w:val="zh-CN"/>
          </w:rPr>
          <w:t>-</w:t>
        </w:r>
        <w:r w:rsidR="004D633B">
          <w:rPr>
            <w:rFonts w:ascii="Times New Roman" w:hAnsi="Times New Roman"/>
            <w:noProof/>
            <w:sz w:val="24"/>
          </w:rPr>
          <w:t xml:space="preserve"> 1 -</w:t>
        </w:r>
        <w:r w:rsidRPr="00233FF9">
          <w:rPr>
            <w:rFonts w:ascii="Times New Roman" w:hAnsi="Times New Roman"/>
            <w:sz w:val="24"/>
          </w:rPr>
          <w:fldChar w:fldCharType="end"/>
        </w:r>
      </w:p>
    </w:sdtContent>
  </w:sdt>
  <w:p w:rsidR="00233FF9" w:rsidRDefault="00233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3B" w:rsidRDefault="004D633B" w:rsidP="00AB2231">
      <w:r>
        <w:separator/>
      </w:r>
    </w:p>
  </w:footnote>
  <w:footnote w:type="continuationSeparator" w:id="0">
    <w:p w:rsidR="004D633B" w:rsidRDefault="004D633B" w:rsidP="00AB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7F2"/>
    <w:rsid w:val="00072276"/>
    <w:rsid w:val="00133279"/>
    <w:rsid w:val="00233FF9"/>
    <w:rsid w:val="00314DBD"/>
    <w:rsid w:val="004D633B"/>
    <w:rsid w:val="005326E3"/>
    <w:rsid w:val="005C5ABE"/>
    <w:rsid w:val="005F1185"/>
    <w:rsid w:val="005F4401"/>
    <w:rsid w:val="006318CE"/>
    <w:rsid w:val="00646626"/>
    <w:rsid w:val="00675327"/>
    <w:rsid w:val="009A5AEB"/>
    <w:rsid w:val="00A777F2"/>
    <w:rsid w:val="00AB2231"/>
    <w:rsid w:val="00AE3E6A"/>
    <w:rsid w:val="00BA7BB6"/>
    <w:rsid w:val="00EF2BB8"/>
    <w:rsid w:val="00F52075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40EFE-7AD6-41DE-AEC0-9E650274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2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23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44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44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841</Characters>
  <Application>Microsoft Office Word</Application>
  <DocSecurity>0</DocSecurity>
  <Lines>7</Lines>
  <Paragraphs>1</Paragraphs>
  <ScaleCrop>false</ScaleCrop>
  <Company>SHFE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shfe</cp:lastModifiedBy>
  <cp:revision>7</cp:revision>
  <cp:lastPrinted>2023-05-08T07:24:00Z</cp:lastPrinted>
  <dcterms:created xsi:type="dcterms:W3CDTF">2023-05-08T09:36:00Z</dcterms:created>
  <dcterms:modified xsi:type="dcterms:W3CDTF">2023-05-09T07:50:00Z</dcterms:modified>
</cp:coreProperties>
</file>